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A2B4B">
      <w:pPr>
        <w:spacing w:line="560" w:lineRule="exact"/>
        <w:jc w:val="center"/>
        <w:rPr>
          <w:rFonts w:hint="eastAsia" w:ascii="宋体" w:hAnsi="宋体" w:eastAsia="宋体" w:cs="宋体"/>
          <w:b/>
          <w:bCs w:val="0"/>
          <w:color w:val="000000"/>
          <w:kern w:val="0"/>
          <w:sz w:val="44"/>
          <w:szCs w:val="44"/>
        </w:rPr>
      </w:pPr>
      <w:bookmarkStart w:id="0" w:name="_GoBack"/>
      <w:bookmarkEnd w:id="0"/>
    </w:p>
    <w:p w14:paraId="78BE309C">
      <w:pPr>
        <w:spacing w:line="560" w:lineRule="exact"/>
        <w:jc w:val="center"/>
        <w:rPr>
          <w:rFonts w:hint="eastAsia" w:ascii="宋体" w:hAnsi="宋体" w:eastAsia="宋体" w:cs="宋体"/>
          <w:b/>
          <w:bCs w:val="0"/>
          <w:color w:val="000000"/>
          <w:kern w:val="0"/>
          <w:sz w:val="44"/>
          <w:szCs w:val="44"/>
        </w:rPr>
      </w:pPr>
      <w:r>
        <w:rPr>
          <w:rFonts w:hint="eastAsia" w:ascii="宋体" w:hAnsi="宋体" w:cs="宋体"/>
          <w:b/>
          <w:bCs w:val="0"/>
          <w:color w:val="000000"/>
          <w:kern w:val="0"/>
          <w:sz w:val="44"/>
          <w:szCs w:val="44"/>
          <w:lang w:val="en-US" w:eastAsia="zh-CN"/>
        </w:rPr>
        <w:t>32</w:t>
      </w:r>
      <w:r>
        <w:rPr>
          <w:rFonts w:hint="eastAsia" w:ascii="宋体" w:hAnsi="宋体" w:eastAsia="宋体" w:cs="宋体"/>
          <w:b/>
          <w:bCs w:val="0"/>
          <w:color w:val="000000"/>
          <w:kern w:val="0"/>
          <w:sz w:val="44"/>
          <w:szCs w:val="44"/>
        </w:rPr>
        <w:t>.整体提升脚手架、模板等自升式架设设施验收合格登记事中事后监管细则</w:t>
      </w:r>
    </w:p>
    <w:p w14:paraId="4330DC41">
      <w:pPr>
        <w:spacing w:line="560" w:lineRule="exact"/>
        <w:jc w:val="center"/>
        <w:rPr>
          <w:rFonts w:ascii="仿宋_GB2312" w:hAnsi="仿宋_GB2312" w:eastAsia="仿宋_GB2312" w:cs="仿宋_GB2312"/>
          <w:color w:val="000000"/>
          <w:kern w:val="0"/>
          <w:sz w:val="32"/>
          <w:szCs w:val="32"/>
        </w:rPr>
      </w:pPr>
    </w:p>
    <w:p w14:paraId="5EB40785">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color w:val="000000"/>
          <w:kern w:val="0"/>
          <w:sz w:val="32"/>
          <w:szCs w:val="32"/>
        </w:rPr>
        <w:t>为深入推进简政放权</w:t>
      </w:r>
      <w:r>
        <w:rPr>
          <w:rFonts w:hint="eastAsia" w:ascii="仿宋" w:hAnsi="仿宋" w:eastAsia="仿宋" w:cs="仿宋_GB2312"/>
          <w:kern w:val="0"/>
          <w:sz w:val="32"/>
          <w:szCs w:val="32"/>
        </w:rPr>
        <w:t>、放管结合、优化服务，加强整体提升脚手架、模板等自升式架设设施验收合格登记监管服务工作，规范行政行为，根据相关法律法规和《建筑起重机械安全监督管理规定》，制定本监管细则。</w:t>
      </w:r>
    </w:p>
    <w:p w14:paraId="6EFB5CD9">
      <w:pPr>
        <w:spacing w:line="560" w:lineRule="exact"/>
        <w:ind w:firstLine="640" w:firstLineChars="200"/>
        <w:jc w:val="left"/>
        <w:rPr>
          <w:rFonts w:hint="eastAsia" w:ascii="仿宋" w:hAnsi="仿宋" w:eastAsia="仿宋" w:cs="仿宋_GB2312"/>
          <w:color w:val="000000"/>
          <w:kern w:val="0"/>
          <w:sz w:val="32"/>
          <w:szCs w:val="32"/>
          <w:lang w:eastAsia="zh-CN"/>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32</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，项目名称：整体提升脚手架、模板等自升式架设设施验收合格登记</w:t>
      </w:r>
      <w:r>
        <w:rPr>
          <w:rFonts w:hint="eastAsia" w:ascii="仿宋" w:hAnsi="仿宋" w:eastAsia="仿宋" w:cs="仿宋_GB2312"/>
          <w:color w:val="000000"/>
          <w:kern w:val="0"/>
          <w:sz w:val="32"/>
          <w:szCs w:val="32"/>
          <w:lang w:eastAsia="zh-CN"/>
        </w:rPr>
        <w:t>。</w:t>
      </w:r>
    </w:p>
    <w:p w14:paraId="0E89D7B8">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一、基本原则</w:t>
      </w:r>
    </w:p>
    <w:p w14:paraId="2E0599E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1ECAFFC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22A8866B">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二、事中监管</w:t>
      </w:r>
    </w:p>
    <w:p w14:paraId="60A1129B">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1C39E44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申报范围：在祁门县城区范围内</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模板等自升式架设施验收合格之日起30日内，将</w:t>
      </w:r>
      <w:r>
        <w:rPr>
          <w:rFonts w:hint="eastAsia" w:ascii="仿宋" w:hAnsi="仿宋" w:eastAsia="仿宋" w:cs="仿宋_GB2312"/>
          <w:sz w:val="32"/>
          <w:szCs w:val="32"/>
          <w:lang w:eastAsia="zh-CN"/>
        </w:rPr>
        <w:t>整体手脚架</w:t>
      </w:r>
      <w:r>
        <w:rPr>
          <w:rFonts w:hint="eastAsia" w:ascii="仿宋" w:hAnsi="仿宋" w:eastAsia="仿宋" w:cs="仿宋_GB2312"/>
          <w:sz w:val="32"/>
          <w:szCs w:val="32"/>
        </w:rPr>
        <w:t>安装</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模板等自升式架设施验收资料、安全管理制度、特种作业人员名单等，向工程所在地县级以上地方人民政府建设主管部门办理建筑起重机械使用登记</w:t>
      </w:r>
      <w:r>
        <w:rPr>
          <w:rFonts w:hint="eastAsia" w:ascii="仿宋" w:hAnsi="仿宋" w:eastAsia="仿宋" w:cs="仿宋_GB2312"/>
          <w:sz w:val="32"/>
          <w:szCs w:val="32"/>
          <w:lang w:eastAsia="zh-CN"/>
        </w:rPr>
        <w:t>，</w:t>
      </w:r>
      <w:r>
        <w:rPr>
          <w:rFonts w:hint="eastAsia" w:ascii="仿宋" w:hAnsi="仿宋" w:eastAsia="仿宋" w:cs="仿宋_GB2312"/>
          <w:sz w:val="32"/>
          <w:szCs w:val="32"/>
        </w:rPr>
        <w:t>登记标志置于或者附着于该设备的显著位置。</w:t>
      </w:r>
    </w:p>
    <w:p w14:paraId="04A8A486">
      <w:pPr>
        <w:spacing w:line="560" w:lineRule="exact"/>
        <w:jc w:val="left"/>
        <w:rPr>
          <w:rFonts w:ascii="仿宋" w:hAnsi="仿宋" w:eastAsia="仿宋" w:cs="仿宋_GB2312"/>
          <w:color w:val="000000"/>
          <w:kern w:val="0"/>
          <w:sz w:val="32"/>
          <w:szCs w:val="32"/>
        </w:rPr>
      </w:pPr>
      <w:r>
        <w:rPr>
          <w:rFonts w:hint="eastAsia" w:ascii="仿宋" w:hAnsi="仿宋" w:eastAsia="仿宋" w:cs="仿宋_GB2312"/>
          <w:b/>
          <w:bCs/>
          <w:color w:val="000000"/>
          <w:kern w:val="0"/>
          <w:sz w:val="32"/>
          <w:szCs w:val="32"/>
        </w:rPr>
        <w:t xml:space="preserve">    1.加强权力运行流程监管。</w:t>
      </w:r>
      <w:r>
        <w:rPr>
          <w:rFonts w:hint="eastAsia" w:ascii="仿宋" w:hAnsi="仿宋" w:eastAsia="仿宋" w:cs="仿宋_GB2312"/>
          <w:color w:val="000000"/>
          <w:kern w:val="0"/>
          <w:sz w:val="32"/>
          <w:szCs w:val="32"/>
        </w:rPr>
        <w:t>落实受理、审查和决定、送达、事后监管等阶段应履行的权责事项，规范权力运行流程，强化全程标准化监管。</w:t>
      </w:r>
    </w:p>
    <w:p w14:paraId="17F0FFDE">
      <w:pPr>
        <w:spacing w:line="560" w:lineRule="exact"/>
        <w:ind w:firstLine="643" w:firstLineChars="200"/>
        <w:jc w:val="left"/>
        <w:rPr>
          <w:rFonts w:ascii="仿宋" w:hAnsi="仿宋" w:eastAsia="仿宋" w:cs="仿宋_GB2312"/>
          <w:color w:val="000000"/>
          <w:kern w:val="0"/>
          <w:sz w:val="32"/>
          <w:szCs w:val="32"/>
        </w:rPr>
      </w:pPr>
      <w:r>
        <w:rPr>
          <w:rFonts w:hint="eastAsia" w:ascii="仿宋" w:hAnsi="仿宋" w:eastAsia="仿宋" w:cs="仿宋_GB2312"/>
          <w:b/>
          <w:bCs/>
          <w:color w:val="000000"/>
          <w:kern w:val="0"/>
          <w:sz w:val="32"/>
          <w:szCs w:val="32"/>
        </w:rPr>
        <w:t>2.规范受理工作。</w:t>
      </w:r>
      <w:r>
        <w:rPr>
          <w:rFonts w:hint="eastAsia" w:ascii="仿宋" w:hAnsi="仿宋" w:eastAsia="仿宋" w:cs="仿宋_GB2312"/>
          <w:color w:val="000000"/>
          <w:kern w:val="0"/>
          <w:sz w:val="32"/>
          <w:szCs w:val="32"/>
        </w:rPr>
        <w:t>符合受理条件的，依法受理；不符合受理条件的，告知理由；可要补正材料的，一次性告知。</w:t>
      </w:r>
    </w:p>
    <w:p w14:paraId="082E78D8">
      <w:pPr>
        <w:spacing w:line="560" w:lineRule="exact"/>
        <w:ind w:firstLine="643" w:firstLineChars="200"/>
        <w:jc w:val="left"/>
        <w:rPr>
          <w:rFonts w:ascii="仿宋" w:hAnsi="仿宋" w:eastAsia="仿宋" w:cs="仿宋_GB2312"/>
          <w:color w:val="000000"/>
          <w:kern w:val="0"/>
          <w:sz w:val="32"/>
          <w:szCs w:val="32"/>
        </w:rPr>
      </w:pPr>
      <w:r>
        <w:rPr>
          <w:rFonts w:hint="eastAsia" w:ascii="仿宋" w:hAnsi="仿宋" w:eastAsia="仿宋" w:cs="仿宋_GB2312"/>
          <w:b/>
          <w:bCs/>
          <w:color w:val="000000"/>
          <w:kern w:val="0"/>
          <w:sz w:val="32"/>
          <w:szCs w:val="32"/>
        </w:rPr>
        <w:t>3.强化廉政风险防控。</w:t>
      </w:r>
      <w:r>
        <w:rPr>
          <w:rFonts w:hint="eastAsia" w:ascii="仿宋" w:hAnsi="仿宋" w:eastAsia="仿宋" w:cs="仿宋_GB2312"/>
          <w:color w:val="000000"/>
          <w:kern w:val="0"/>
          <w:sz w:val="32"/>
          <w:szCs w:val="32"/>
        </w:rPr>
        <w:t>主要对材料审查、项目许可等廉政风险点进行管理，强化权力运行制约监督。</w:t>
      </w:r>
    </w:p>
    <w:p w14:paraId="53187C6F">
      <w:pPr>
        <w:spacing w:line="560" w:lineRule="exact"/>
        <w:ind w:firstLine="643" w:firstLineChars="200"/>
        <w:jc w:val="left"/>
        <w:rPr>
          <w:rFonts w:ascii="仿宋" w:hAnsi="仿宋" w:eastAsia="仿宋" w:cs="仿宋_GB2312"/>
          <w:color w:val="000000"/>
          <w:kern w:val="0"/>
          <w:sz w:val="32"/>
          <w:szCs w:val="32"/>
        </w:rPr>
      </w:pPr>
      <w:r>
        <w:rPr>
          <w:rFonts w:hint="eastAsia" w:ascii="仿宋" w:hAnsi="仿宋" w:eastAsia="仿宋" w:cs="仿宋_GB2312"/>
          <w:b/>
          <w:bCs/>
          <w:color w:val="000000"/>
          <w:kern w:val="0"/>
          <w:sz w:val="32"/>
          <w:szCs w:val="32"/>
        </w:rPr>
        <w:t>4.做出审核或备案决定。</w:t>
      </w:r>
      <w:r>
        <w:rPr>
          <w:rFonts w:hint="eastAsia" w:ascii="仿宋" w:hAnsi="仿宋" w:eastAsia="仿宋" w:cs="仿宋_GB2312"/>
          <w:color w:val="000000"/>
          <w:kern w:val="0"/>
          <w:sz w:val="32"/>
          <w:szCs w:val="32"/>
        </w:rPr>
        <w:t>申请材料齐全、符合法定形式的，1个工作日内做出同意备案决定。</w:t>
      </w:r>
    </w:p>
    <w:p w14:paraId="3F520ACE">
      <w:pPr>
        <w:spacing w:line="56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color w:val="000000"/>
          <w:kern w:val="0"/>
          <w:sz w:val="32"/>
          <w:szCs w:val="32"/>
        </w:rPr>
        <w:t>5.及时做好送达工作。</w:t>
      </w:r>
      <w:r>
        <w:rPr>
          <w:rFonts w:hint="eastAsia" w:ascii="仿宋" w:hAnsi="仿宋" w:eastAsia="仿宋" w:cs="仿宋_GB2312"/>
          <w:color w:val="000000"/>
          <w:kern w:val="0"/>
          <w:sz w:val="32"/>
          <w:szCs w:val="32"/>
        </w:rPr>
        <w:t>按规定制作并送达批文，并做到信息</w:t>
      </w:r>
      <w:r>
        <w:rPr>
          <w:rFonts w:hint="eastAsia" w:ascii="仿宋" w:hAnsi="仿宋" w:eastAsia="仿宋" w:cs="仿宋_GB2312"/>
          <w:kern w:val="0"/>
          <w:sz w:val="32"/>
          <w:szCs w:val="32"/>
        </w:rPr>
        <w:t>公开（不予批准的应当告知理由）。</w:t>
      </w:r>
    </w:p>
    <w:p w14:paraId="7582A33F">
      <w:pPr>
        <w:spacing w:line="56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7899C352">
      <w:pPr>
        <w:spacing w:line="56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w:t>
      </w:r>
      <w:r>
        <w:rPr>
          <w:rFonts w:hint="eastAsia" w:ascii="仿宋" w:hAnsi="仿宋" w:eastAsia="仿宋" w:cs="仿宋_GB2312"/>
          <w:b/>
          <w:bCs/>
          <w:sz w:val="32"/>
          <w:szCs w:val="32"/>
          <w:lang w:val="en-US" w:eastAsia="zh-CN"/>
        </w:rPr>
        <w:t>.</w:t>
      </w:r>
      <w:r>
        <w:rPr>
          <w:rFonts w:hint="eastAsia" w:ascii="仿宋" w:hAnsi="仿宋" w:eastAsia="仿宋" w:cs="仿宋_GB2312"/>
          <w:b/>
          <w:bCs/>
          <w:sz w:val="32"/>
          <w:szCs w:val="32"/>
        </w:rPr>
        <w:t>制定监督检查方案。</w:t>
      </w:r>
      <w:r>
        <w:rPr>
          <w:rFonts w:hint="eastAsia" w:ascii="仿宋" w:hAnsi="仿宋" w:eastAsia="仿宋" w:cs="仿宋_GB2312"/>
          <w:sz w:val="32"/>
          <w:szCs w:val="32"/>
        </w:rPr>
        <w:t>现场监督检查方案应包括现场监督检查的时间、人员及分工、监督检查的标准和内容等。</w:t>
      </w:r>
    </w:p>
    <w:p w14:paraId="0FC11588">
      <w:pPr>
        <w:autoSpaceDN w:val="0"/>
        <w:spacing w:line="56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w:t>
      </w:r>
      <w:r>
        <w:rPr>
          <w:rFonts w:hint="eastAsia" w:ascii="仿宋" w:hAnsi="仿宋" w:eastAsia="仿宋" w:cs="仿宋_GB2312"/>
          <w:b/>
          <w:bCs/>
          <w:sz w:val="32"/>
          <w:szCs w:val="32"/>
          <w:lang w:val="en-US" w:eastAsia="zh-CN"/>
        </w:rPr>
        <w:t>.</w:t>
      </w:r>
      <w:r>
        <w:rPr>
          <w:rFonts w:hint="eastAsia" w:ascii="仿宋" w:hAnsi="仿宋" w:eastAsia="仿宋" w:cs="仿宋_GB2312"/>
          <w:b/>
          <w:bCs/>
          <w:sz w:val="32"/>
          <w:szCs w:val="32"/>
        </w:rPr>
        <w:t>发现违法行为及时上报。</w:t>
      </w:r>
      <w:r>
        <w:rPr>
          <w:rFonts w:hint="eastAsia" w:ascii="仿宋" w:hAnsi="仿宋" w:eastAsia="仿宋" w:cs="仿宋_GB2312"/>
          <w:sz w:val="32"/>
          <w:szCs w:val="32"/>
        </w:rPr>
        <w:t>对申请人隐瞒有关真实情况或是提供虚假材料的，由祁门县住房和城乡建设局按程序依法予以处理。</w:t>
      </w:r>
    </w:p>
    <w:p w14:paraId="4FA2E4DC">
      <w:pPr>
        <w:autoSpaceDN w:val="0"/>
        <w:spacing w:line="56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w:t>
      </w:r>
      <w:r>
        <w:rPr>
          <w:rFonts w:hint="eastAsia" w:ascii="仿宋" w:hAnsi="仿宋" w:eastAsia="仿宋" w:cs="仿宋_GB2312"/>
          <w:b/>
          <w:bCs/>
          <w:sz w:val="32"/>
          <w:szCs w:val="32"/>
          <w:lang w:val="en-US" w:eastAsia="zh-CN"/>
        </w:rPr>
        <w:t>.</w:t>
      </w:r>
      <w:r>
        <w:rPr>
          <w:rFonts w:hint="eastAsia" w:ascii="仿宋" w:hAnsi="仿宋" w:eastAsia="仿宋" w:cs="仿宋_GB2312"/>
          <w:b/>
          <w:bCs/>
          <w:sz w:val="32"/>
          <w:szCs w:val="32"/>
        </w:rPr>
        <w:t>按照法定程序和要求公布监管信息。</w:t>
      </w:r>
    </w:p>
    <w:p w14:paraId="2D992D82">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2CD0ECE6">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7167242B">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r>
        <w:rPr>
          <w:rFonts w:hint="eastAsia" w:ascii="仿宋" w:hAnsi="仿宋" w:eastAsia="仿宋" w:cs="仿宋_GB2312"/>
          <w:sz w:val="32"/>
          <w:szCs w:val="32"/>
        </w:rPr>
        <w:t>。</w:t>
      </w:r>
    </w:p>
    <w:p w14:paraId="4462A447">
      <w:pPr>
        <w:spacing w:line="56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（三）现场检查。主要包括：</w:t>
      </w:r>
    </w:p>
    <w:p w14:paraId="6FDBF0D7">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lang w:val="en-US" w:eastAsia="zh-CN"/>
        </w:rPr>
        <w:t>1.</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模板等自升式架设施检测报告；</w:t>
      </w:r>
    </w:p>
    <w:p w14:paraId="75CA6821">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lang w:val="en-US" w:eastAsia="zh-CN"/>
        </w:rPr>
        <w:t>2.</w:t>
      </w:r>
      <w:r>
        <w:rPr>
          <w:rFonts w:hint="eastAsia" w:ascii="仿宋" w:hAnsi="仿宋" w:eastAsia="仿宋" w:cs="仿宋_GB2312"/>
          <w:sz w:val="32"/>
          <w:szCs w:val="32"/>
        </w:rPr>
        <w:t>安装验收资料；</w:t>
      </w:r>
    </w:p>
    <w:p w14:paraId="43E55FE9">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lang w:val="en-US" w:eastAsia="zh-CN"/>
        </w:rPr>
        <w:t>3</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w:t>
      </w:r>
      <w:r>
        <w:rPr>
          <w:rFonts w:hint="eastAsia" w:ascii="仿宋" w:hAnsi="仿宋" w:eastAsia="仿宋" w:cs="仿宋_GB2312"/>
          <w:sz w:val="32"/>
          <w:szCs w:val="32"/>
          <w:lang w:eastAsia="zh-CN"/>
        </w:rPr>
        <w:t>生产</w:t>
      </w:r>
      <w:r>
        <w:rPr>
          <w:rFonts w:hint="eastAsia" w:ascii="仿宋" w:hAnsi="仿宋" w:eastAsia="仿宋" w:cs="仿宋_GB2312"/>
          <w:sz w:val="32"/>
          <w:szCs w:val="32"/>
        </w:rPr>
        <w:t>安全事故应急救援预案；</w:t>
      </w:r>
    </w:p>
    <w:p w14:paraId="66257382">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4</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使用登记表。</w:t>
      </w:r>
    </w:p>
    <w:p w14:paraId="318831BD">
      <w:pPr>
        <w:spacing w:line="56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（四）信用监管</w:t>
      </w:r>
    </w:p>
    <w:p w14:paraId="2D7F0D2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申请人</w:t>
      </w:r>
      <w:r>
        <w:rPr>
          <w:rFonts w:hint="eastAsia" w:ascii="仿宋" w:hAnsi="仿宋" w:eastAsia="仿宋" w:cs="仿宋_GB2312"/>
          <w:sz w:val="32"/>
          <w:szCs w:val="32"/>
          <w:lang w:val="zh-CN"/>
        </w:rPr>
        <w:t>在</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w:t>
      </w:r>
      <w:r>
        <w:rPr>
          <w:rFonts w:hint="eastAsia" w:ascii="仿宋" w:hAnsi="仿宋" w:eastAsia="仿宋" w:cs="仿宋_GB2312"/>
          <w:sz w:val="32"/>
          <w:szCs w:val="32"/>
          <w:lang w:eastAsia="zh-CN"/>
        </w:rPr>
        <w:t>安装</w:t>
      </w:r>
      <w:r>
        <w:rPr>
          <w:rFonts w:hint="eastAsia" w:ascii="仿宋" w:hAnsi="仿宋" w:eastAsia="仿宋" w:cs="仿宋_GB2312"/>
          <w:sz w:val="32"/>
          <w:szCs w:val="32"/>
          <w:lang w:val="zh-CN"/>
        </w:rPr>
        <w:t>完成后</w:t>
      </w:r>
      <w:r>
        <w:rPr>
          <w:rFonts w:hint="eastAsia" w:ascii="仿宋" w:hAnsi="仿宋" w:eastAsia="仿宋" w:cs="仿宋_GB2312"/>
          <w:sz w:val="32"/>
          <w:szCs w:val="32"/>
        </w:rPr>
        <w:t>，应按许可决定要求，在验收合格之日起30日内，将</w:t>
      </w:r>
      <w:r>
        <w:rPr>
          <w:rFonts w:hint="eastAsia" w:ascii="仿宋" w:hAnsi="仿宋" w:eastAsia="仿宋" w:cs="仿宋_GB2312"/>
          <w:kern w:val="0"/>
          <w:sz w:val="32"/>
          <w:szCs w:val="32"/>
        </w:rPr>
        <w:t>整体提升脚手架、</w:t>
      </w:r>
      <w:r>
        <w:rPr>
          <w:rFonts w:hint="eastAsia" w:ascii="仿宋" w:hAnsi="仿宋" w:eastAsia="仿宋" w:cs="仿宋_GB2312"/>
          <w:sz w:val="32"/>
          <w:szCs w:val="32"/>
        </w:rPr>
        <w:t>模板等自升式架设施验收资料、安全管理制度、特种作业人员名单等，向工程所在地建设主管部门办理建筑起重机械使用登记。登记标志置于或者附着于该设备的显著位置。</w:t>
      </w:r>
    </w:p>
    <w:p w14:paraId="712A893D">
      <w:pPr>
        <w:spacing w:line="56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（五）协同监管</w:t>
      </w:r>
    </w:p>
    <w:p w14:paraId="033E88B7">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按照权责匹配、权责一致的原则，加强建设行政管理机构申请人（单位）当地与</w:t>
      </w:r>
      <w:r>
        <w:rPr>
          <w:rFonts w:hint="eastAsia" w:ascii="仿宋" w:hAnsi="仿宋" w:eastAsia="仿宋" w:cs="仿宋_GB2312"/>
          <w:kern w:val="0"/>
          <w:sz w:val="32"/>
          <w:szCs w:val="32"/>
          <w:lang w:eastAsia="zh-CN"/>
        </w:rPr>
        <w:t>市场监督管理</w:t>
      </w:r>
      <w:r>
        <w:rPr>
          <w:rFonts w:hint="eastAsia" w:ascii="仿宋" w:hAnsi="仿宋" w:eastAsia="仿宋" w:cs="仿宋_GB2312"/>
          <w:kern w:val="0"/>
          <w:sz w:val="32"/>
          <w:szCs w:val="32"/>
        </w:rPr>
        <w:t>、</w:t>
      </w:r>
      <w:r>
        <w:rPr>
          <w:rFonts w:hint="eastAsia" w:ascii="仿宋" w:hAnsi="仿宋" w:eastAsia="仿宋" w:cs="仿宋_GB2312"/>
          <w:kern w:val="0"/>
          <w:sz w:val="32"/>
          <w:szCs w:val="32"/>
          <w:lang w:eastAsia="zh-CN"/>
        </w:rPr>
        <w:t>发改</w:t>
      </w:r>
      <w:r>
        <w:rPr>
          <w:rFonts w:hint="eastAsia" w:ascii="仿宋" w:hAnsi="仿宋" w:eastAsia="仿宋" w:cs="仿宋_GB2312"/>
          <w:kern w:val="0"/>
          <w:sz w:val="32"/>
          <w:szCs w:val="32"/>
        </w:rPr>
        <w:t>、环保、电力、水利、公路等职能部门的沟通协作，建立健全行政审批、行业主管与后续监管协调一致的</w:t>
      </w:r>
      <w:r>
        <w:rPr>
          <w:rFonts w:hint="eastAsia" w:ascii="仿宋" w:hAnsi="仿宋" w:eastAsia="仿宋" w:cs="仿宋_GB2312"/>
          <w:kern w:val="0"/>
          <w:sz w:val="32"/>
          <w:szCs w:val="32"/>
          <w:lang w:val="zh-CN"/>
        </w:rPr>
        <w:t>建筑业企业</w:t>
      </w:r>
      <w:r>
        <w:rPr>
          <w:rFonts w:hint="eastAsia" w:ascii="仿宋" w:hAnsi="仿宋" w:eastAsia="仿宋" w:cs="仿宋_GB2312"/>
          <w:kern w:val="0"/>
          <w:sz w:val="32"/>
          <w:szCs w:val="32"/>
        </w:rPr>
        <w:t>的监管机制，建立健全事前监管与事后监管协调一致的监管机制。</w:t>
      </w:r>
    </w:p>
    <w:p w14:paraId="22501B60">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3766A99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（一）个人或组织发现申请人（单位）在建筑施工活动中有违法违规现象，有权向祁门县住建局建管股举报（举报地址：祁门县住建局;举报电话：0559-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），祁门县住建局建筑管理股将及时核实、处理，并将核实、处理结果书面告知举报人。</w:t>
      </w:r>
    </w:p>
    <w:p w14:paraId="1F5375EB">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p>
    <w:p w14:paraId="77049E48">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68580B26">
      <w:pPr>
        <w:spacing w:line="560" w:lineRule="exact"/>
        <w:ind w:firstLine="640" w:firstLineChars="200"/>
        <w:rPr>
          <w:rFonts w:hint="eastAsia" w:ascii="黑体" w:hAnsi="黑体" w:eastAsia="黑体" w:cs="黑体"/>
          <w:bCs/>
          <w:sz w:val="32"/>
          <w:szCs w:val="32"/>
          <w:lang w:eastAsia="zh-CN"/>
        </w:rPr>
      </w:pPr>
      <w:r>
        <w:rPr>
          <w:rFonts w:hint="eastAsia" w:ascii="黑体" w:hAnsi="黑体" w:eastAsia="黑体" w:cs="黑体"/>
          <w:bCs/>
          <w:sz w:val="32"/>
          <w:szCs w:val="32"/>
          <w:lang w:eastAsia="zh-CN"/>
        </w:rPr>
        <w:t>四、责任追溯</w:t>
      </w:r>
    </w:p>
    <w:p w14:paraId="6BD46C86">
      <w:pPr>
        <w:autoSpaceDN w:val="0"/>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对全县建筑市场监管机构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-4</w:t>
      </w:r>
      <w:r>
        <w:rPr>
          <w:rFonts w:hint="eastAsia" w:ascii="仿宋" w:hAnsi="仿宋" w:eastAsia="仿宋" w:cs="仿宋_GB2312"/>
          <w:sz w:val="32"/>
          <w:szCs w:val="32"/>
          <w:lang w:val="en-US" w:eastAsia="zh-CN"/>
        </w:rPr>
        <w:t>512045</w:t>
      </w:r>
      <w:r>
        <w:rPr>
          <w:rFonts w:hint="eastAsia" w:ascii="仿宋" w:hAnsi="仿宋" w:eastAsia="仿宋" w:cs="仿宋_GB2312"/>
          <w:sz w:val="32"/>
          <w:szCs w:val="32"/>
        </w:rPr>
        <w:t>。</w:t>
      </w:r>
    </w:p>
    <w:p w14:paraId="573D3CE2">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发现违反本规定的违法行为不依法查处的；发现在用的建筑起重机械存在严重生产安全事故隐患不依法处理的；其他违反法律法规规章文件规定的行为。</w:t>
      </w:r>
      <w:r>
        <w:rPr>
          <w:rFonts w:hint="eastAsia" w:ascii="仿宋" w:hAnsi="仿宋" w:eastAsia="仿宋" w:cs="仿宋_GB2312"/>
          <w:sz w:val="32"/>
          <w:szCs w:val="32"/>
        </w:rPr>
        <w:t>在备案和监督管理中，利用职务上的便利，收受他人财物或者其他好处，以及有其他违法行为的，由安徽省住房和城乡建设厅调查取证后，按照相关规定对祁门县建筑管理股经办人予以问责。</w:t>
      </w:r>
    </w:p>
    <w:p w14:paraId="611C3FF1">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会对县建筑管理股进行监管，根据认定的过错责任大小实施相应的追究方式。包括：责令改正、责令做出书面检查、给予通报批评、调离执法岗位或者吊销执法证件、停职、给予行政处分等；涉嫌犯罪的，移交司法机关处理。</w:t>
      </w:r>
    </w:p>
    <w:p w14:paraId="672B4C43">
      <w:pPr>
        <w:spacing w:line="560" w:lineRule="exact"/>
        <w:ind w:firstLine="640" w:firstLineChars="200"/>
        <w:rPr>
          <w:rFonts w:hint="eastAsia" w:ascii="黑体" w:hAnsi="黑体" w:eastAsia="黑体" w:cs="黑体"/>
          <w:bCs/>
          <w:sz w:val="32"/>
          <w:szCs w:val="32"/>
          <w:lang w:eastAsia="zh-CN"/>
        </w:rPr>
      </w:pPr>
      <w:r>
        <w:rPr>
          <w:rFonts w:hint="eastAsia" w:ascii="黑体" w:hAnsi="黑体" w:eastAsia="黑体" w:cs="黑体"/>
          <w:bCs/>
          <w:sz w:val="32"/>
          <w:szCs w:val="32"/>
          <w:lang w:eastAsia="zh-CN"/>
        </w:rPr>
        <w:t>五、保障措施</w:t>
      </w:r>
    </w:p>
    <w:p w14:paraId="610F94E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严格遵守《事业单位人事管理条例》、《中国共产党纪律处分条例》等法律法规的相关规定，杜绝违法违纪行为。</w:t>
      </w:r>
    </w:p>
    <w:p w14:paraId="66DB267E">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认真执行省直机关效能建设八项制度，切实履行一次性告知义务。</w:t>
      </w:r>
    </w:p>
    <w:p w14:paraId="4C4C20A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加强业务培训，不断提高业务水平。</w:t>
      </w:r>
    </w:p>
    <w:p w14:paraId="1F84EA0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加强内部监管，接受投诉举报，依法追究相关经办人员责任。</w:t>
      </w:r>
    </w:p>
    <w:p w14:paraId="6E1A4F4B">
      <w:pPr>
        <w:spacing w:line="560" w:lineRule="exact"/>
        <w:ind w:firstLine="640" w:firstLineChars="200"/>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六、主要依据</w:t>
      </w:r>
    </w:p>
    <w:p w14:paraId="31EC2947">
      <w:pPr>
        <w:spacing w:line="560" w:lineRule="exact"/>
        <w:ind w:firstLine="480" w:firstLineChars="150"/>
        <w:rPr>
          <w:rFonts w:hint="eastAsia" w:ascii="仿宋" w:hAnsi="仿宋" w:eastAsia="仿宋"/>
          <w:sz w:val="32"/>
          <w:szCs w:val="32"/>
        </w:rPr>
      </w:pPr>
      <w:r>
        <w:rPr>
          <w:rFonts w:hint="eastAsia" w:ascii="仿宋" w:hAnsi="仿宋" w:eastAsia="仿宋" w:cs="仿宋_GB2312"/>
          <w:kern w:val="0"/>
          <w:sz w:val="32"/>
          <w:szCs w:val="32"/>
        </w:rPr>
        <w:t>《建设工程安全生产管理条例》第三十五条第三款。</w:t>
      </w:r>
    </w:p>
    <w:p w14:paraId="012545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2705033"/>
    <w:rsid w:val="04412C7D"/>
    <w:rsid w:val="15A422E6"/>
    <w:rsid w:val="1FA834FD"/>
    <w:rsid w:val="32705033"/>
    <w:rsid w:val="3FC75019"/>
    <w:rsid w:val="4D7F6F33"/>
    <w:rsid w:val="74341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2239</Words>
  <Characters>2337</Characters>
  <Lines>0</Lines>
  <Paragraphs>0</Paragraphs>
  <TotalTime>0</TotalTime>
  <ScaleCrop>false</ScaleCrop>
  <LinksUpToDate>false</LinksUpToDate>
  <CharactersWithSpaces>2342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2024-01-18T08:27:00Z</dcterms:created>
  <dc:creator>沉默的小布芬</dc:creator>
  <cp:lastModifiedBy>沉默的小布芬</cp:lastModifiedBy>
  <dcterms:modified xsi:type="dcterms:W3CDTF">2024-08-01T06:57:46Z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2B7F19809B0D49F6BDFDD2246799FB2F_11</vt:lpwstr>
  </property>
</Properties>
</file>